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F201"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全自动微生物鉴定及药敏分析仪</w:t>
      </w:r>
      <w:r>
        <w:rPr>
          <w:rFonts w:hint="eastAsia" w:ascii="宋体" w:hAnsi="宋体" w:eastAsia="宋体"/>
          <w:b/>
          <w:sz w:val="28"/>
          <w:szCs w:val="28"/>
        </w:rPr>
        <w:t>技术参数</w:t>
      </w:r>
    </w:p>
    <w:p w14:paraId="11DC5926"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 w14:paraId="03DF01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一、设备名称：</w:t>
      </w:r>
      <w:r>
        <w:rPr>
          <w:rFonts w:hint="eastAsia" w:ascii="Times New Roman" w:hAnsi="Times New Roman" w:cs="Times New Roman"/>
          <w:sz w:val="24"/>
          <w:szCs w:val="24"/>
        </w:rPr>
        <w:t>全自动微生物鉴定及药敏分析仪</w:t>
      </w:r>
    </w:p>
    <w:p w14:paraId="1AAE51C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二、数量：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1套</w:t>
      </w:r>
    </w:p>
    <w:p w14:paraId="2A34E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三、设备用途说明：</w:t>
      </w:r>
      <w:r>
        <w:rPr>
          <w:rFonts w:hint="eastAsia" w:ascii="Times New Roman" w:hAnsi="Times New Roman" w:cs="Times New Roman"/>
          <w:sz w:val="24"/>
          <w:szCs w:val="24"/>
        </w:rPr>
        <w:t>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检验科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临床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教学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科研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使用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。</w:t>
      </w:r>
    </w:p>
    <w:p w14:paraId="32DECC75">
      <w:pPr>
        <w:spacing w:line="360" w:lineRule="auto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四、技术参数及要求：</w:t>
      </w:r>
    </w:p>
    <w:p w14:paraId="2FD3F36D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eastAsia" w:ascii="Times New Roman" w:hAnsi="Times New Roman" w:cs="Times New Roman"/>
          <w:sz w:val="24"/>
          <w:szCs w:val="24"/>
        </w:rPr>
        <w:t>鉴定功能：应覆盖足够多的细菌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>种类，能够进行至少临床常见的革兰阴性杆菌、革兰阳性球菌、苛养菌、革兰阳性杆菌、酵母菌、厌氧菌等病原菌的鉴定。由仪器定时自动检测、自动判读，24h连续检测。</w:t>
      </w:r>
    </w:p>
    <w:p w14:paraId="0852A579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cs="Times New Roman"/>
          <w:sz w:val="24"/>
          <w:szCs w:val="24"/>
        </w:rPr>
        <w:t>药敏功能：有可供选择的药敏抗生素组合，特别是涵盖了针对多重耐药菌的抗生素：黏菌素、替加环素、舒普深和头孢洛林。对真菌药敏，要涵盖棘白菌素。</w:t>
      </w:r>
    </w:p>
    <w:p w14:paraId="4E9D86A9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cs="Times New Roman"/>
          <w:sz w:val="24"/>
          <w:szCs w:val="24"/>
        </w:rPr>
        <w:t>自动化程度高，可进行药敏液的自动调制、菌悬液的自动填充、批量自动上机、自动卸载。且检测卡位≥90个/每台，可以循环的上机和下架，最大限度可以实现24h连续检测。提高抗感染治疗的时效性和有效率。</w:t>
      </w:r>
    </w:p>
    <w:p w14:paraId="31B87C0A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4.</w:t>
      </w:r>
      <w:r>
        <w:rPr>
          <w:rFonts w:hint="eastAsia" w:ascii="Times New Roman" w:hAnsi="Times New Roman" w:cs="Times New Roman"/>
          <w:sz w:val="24"/>
          <w:szCs w:val="24"/>
        </w:rPr>
        <w:t>可检测多种耐药机制，并有专家系统能够提示耐药机制种类。耐药机制的种类应涵盖常见和少见的，尽可能准确的给出检测结果以及预警提示。</w:t>
      </w:r>
    </w:p>
    <w:p w14:paraId="68265BBE"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cs="Times New Roman"/>
          <w:sz w:val="24"/>
          <w:szCs w:val="24"/>
        </w:rPr>
        <w:t>对临床常见病原菌平均药敏检测时间小于8小时，保证仪器最快可以当天发药敏报告。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67AA7"/>
    <w:rsid w:val="0033521E"/>
    <w:rsid w:val="00BA6AD7"/>
    <w:rsid w:val="6AD67AA7"/>
    <w:rsid w:val="7DB2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385</Characters>
  <Lines>2</Lines>
  <Paragraphs>1</Paragraphs>
  <TotalTime>1</TotalTime>
  <ScaleCrop>false</ScaleCrop>
  <LinksUpToDate>false</LinksUpToDate>
  <CharactersWithSpaces>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2025-03-17T03:17:00Z</dcterms:created>
  <dc:creator>Chauncy Chen</dc:creator>
  <cp:lastModifiedBy>王心纲</cp:lastModifiedBy>
  <dcterms:modified xsi:type="dcterms:W3CDTF">2025-04-07T07:34:14Z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24CFBA13A42F4EFABDDC0EC6B6A5479A_11</vt:lpwstr>
  </property>
  <property fmtid="{D5CDD505-2E9C-101B-9397-08002B2CF9AE}" pid="4" name="KSOTemplateDocerSaveRecord">
    <vt:lpwstr>eyJoZGlkIjoiNTAyOGJhYzMyMGVmZjQxMjkxODcyYmViM2ZiNjk1ZWIiLCJ1c2VySWQiOiI0MTk0OTMzMzkifQ==</vt:lpwstr>
  </property>
</Properties>
</file>