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7B22D" w14:textId="10D5DC85" w:rsidR="00605E45" w:rsidRPr="004B54D4" w:rsidRDefault="005A0DC4" w:rsidP="00270CC4">
      <w:pPr>
        <w:spacing w:line="5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B54D4">
        <w:rPr>
          <w:rFonts w:ascii="微软雅黑" w:eastAsia="微软雅黑" w:hAnsi="微软雅黑" w:hint="eastAsia"/>
          <w:b/>
          <w:bCs/>
          <w:sz w:val="28"/>
          <w:szCs w:val="28"/>
        </w:rPr>
        <w:t>福建省代谢性慢性肾病临床医学研究中心简介</w:t>
      </w:r>
    </w:p>
    <w:p w14:paraId="2CE5C915" w14:textId="07882B69" w:rsidR="00D50D9E" w:rsidRPr="004B54D4" w:rsidRDefault="005A0DC4" w:rsidP="00270CC4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2022年</w:t>
      </w:r>
      <w:r w:rsidR="00D50D9E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福建省科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学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技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术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厅发布《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关于认定福建省第二批临床医学研究中心的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通知》，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“福建省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代谢性慢性肾病临床研究中心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”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获得批准认定。</w:t>
      </w:r>
      <w:r w:rsidR="00D50D9E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该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研究中心</w:t>
      </w:r>
      <w:r w:rsidR="00D50D9E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依托于福建医科大学附属第一医院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肾内科，</w:t>
      </w:r>
      <w:r w:rsid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是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国家慢性肾病临床医学研究中心（南方医科大学南方医院）福建省分中心、国家肾脏疾病临床研究中心（东部战区总医院）核心单位，并与挂靠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福建医科大学附属第一医院的</w:t>
      </w:r>
      <w:r w:rsidR="00723F2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福建医科大学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血液净化研究中心、</w:t>
      </w:r>
      <w:r w:rsidR="00723F2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福建省</w:t>
      </w:r>
      <w:r w:rsidR="00D50D9E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高血压研究所、</w:t>
      </w:r>
      <w:r w:rsidR="00723F2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福建省</w:t>
      </w:r>
      <w:r w:rsidR="00D50D9E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内分泌代谢研究院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等省级</w:t>
      </w:r>
      <w:r w:rsidR="00F4660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医学研究</w:t>
      </w:r>
      <w:r w:rsidR="00D50D9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平台实现互联互通。</w:t>
      </w:r>
    </w:p>
    <w:p w14:paraId="296D781C" w14:textId="1B4ECD3B" w:rsidR="001D6ABA" w:rsidRPr="004B54D4" w:rsidRDefault="003D07B7" w:rsidP="00270CC4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研究中心成立以来</w:t>
      </w:r>
      <w:r w:rsidR="00CC42E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主要围绕</w:t>
      </w:r>
      <w:r w:rsidR="00723F2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着代谢性</w:t>
      </w:r>
      <w:r w:rsidR="009166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慢性肾病的防治及</w:t>
      </w:r>
      <w:r w:rsidR="00723F2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其发病</w:t>
      </w:r>
      <w:r w:rsidR="009166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机制</w:t>
      </w:r>
      <w:r w:rsidR="00723F2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进行</w:t>
      </w:r>
      <w:r w:rsidR="009166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</w:t>
      </w:r>
      <w:r w:rsidR="00863231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9166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着力打造</w:t>
      </w:r>
      <w:r w:rsid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四</w:t>
      </w:r>
      <w:r w:rsidR="009166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个临床研究技术支撑平台，即肾脏疾病临床研究协同创新网络平台、肾脏病研究大数据平台、肾脏病生物样本资源协同研究平台、肾脏疾病临床样本平台</w:t>
      </w:r>
      <w:r w:rsidR="00863231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；逐步</w:t>
      </w:r>
      <w:r w:rsidR="00863231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建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立</w:t>
      </w:r>
      <w:r w:rsidR="00863231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三个</w:t>
      </w:r>
      <w:r w:rsidR="001D6ABA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规范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化的</w:t>
      </w:r>
      <w:r w:rsidR="00863231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肾脏疾病队列，即IgA肾病、膜性肾病、狼疮性肾炎队列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并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开始</w:t>
      </w:r>
      <w:r w:rsidR="00863231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启动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由研究者发起的</w:t>
      </w:r>
      <w:r w:rsidR="00863231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多中心临床研究</w:t>
      </w:r>
      <w:r w:rsidR="00502B51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3EB3EC07" w14:textId="12169C51" w:rsidR="001D6ABA" w:rsidRPr="004B54D4" w:rsidRDefault="00DA3898" w:rsidP="003D43C1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研究中心现有核心团队成员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29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人，高级职称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20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人，博硕士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26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人；博士生导师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4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人，硕士生导师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10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人。其中国家级学会（协会）常委及以上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人次；省级学会（协会）主任委员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人次，副主任委员</w:t>
      </w:r>
      <w:r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人次。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研究中心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实行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双负责人制</w:t>
      </w:r>
      <w:r w:rsidR="00D30F4D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中心主任万建新教授，</w:t>
      </w:r>
      <w:r w:rsidR="00D30F4D">
        <w:rPr>
          <w:rFonts w:ascii="微软雅黑" w:eastAsia="微软雅黑" w:hAnsi="微软雅黑" w:hint="eastAsia"/>
          <w:color w:val="000000" w:themeColor="text1"/>
          <w:sz w:val="24"/>
          <w:szCs w:val="24"/>
        </w:rPr>
        <w:t>现任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肾内科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行政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主任，</w:t>
      </w:r>
      <w:r w:rsidR="008F0E02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博士生导师，从事肾脏病临床工作30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余</w:t>
      </w:r>
      <w:r w:rsidR="008F0E02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年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8F0E02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历任中华医学会肾脏病学分会常委、中国医师协会肾脏内科医师分会常委、中国医院协会血液净化中心分会的常委、福建省医学会肾脏病学分会主任委员、福建省医师协会肾脏内科医师分会会长</w:t>
      </w:r>
      <w:r w:rsidR="00D30F4D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许艳芳教授，</w:t>
      </w:r>
      <w:r w:rsidR="008F0E02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博士生导师</w:t>
      </w:r>
      <w:r w:rsidR="008F0E02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095F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现任肾内科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行政</w:t>
      </w:r>
      <w:r w:rsidR="00095F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副主任、科研处副处长、</w:t>
      </w:r>
      <w:r w:rsidR="00095F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中心实验室副主任</w:t>
      </w:r>
      <w:r w:rsidR="00095F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，中国医师协会肾脏</w:t>
      </w:r>
      <w:r w:rsidR="00276BC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内科医师</w:t>
      </w:r>
      <w:r w:rsidR="00095F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分会青年</w:t>
      </w:r>
      <w:r w:rsidR="00276BC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委员会</w:t>
      </w:r>
      <w:r w:rsidR="00095FFD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副主任委员、世界华人肾脏医师协会常委</w:t>
      </w:r>
      <w:r w:rsidR="00095F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、福建省医师协会肾脏内科</w:t>
      </w:r>
      <w:r w:rsidR="00276BC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医师</w:t>
      </w:r>
      <w:r w:rsidR="00095F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分会副会长</w:t>
      </w:r>
      <w:r w:rsidR="00D32A27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3D43C1">
        <w:rPr>
          <w:rFonts w:ascii="微软雅黑" w:eastAsia="微软雅黑" w:hAnsi="微软雅黑"/>
          <w:color w:val="000000" w:themeColor="text1"/>
          <w:sz w:val="24"/>
          <w:szCs w:val="24"/>
        </w:rPr>
        <w:t>作为第一完成人获</w:t>
      </w:r>
      <w:r w:rsidR="003D43C1">
        <w:rPr>
          <w:rFonts w:ascii="微软雅黑" w:eastAsia="微软雅黑" w:hAnsi="微软雅黑" w:hint="eastAsia"/>
          <w:color w:val="000000" w:themeColor="text1"/>
          <w:sz w:val="24"/>
          <w:szCs w:val="24"/>
        </w:rPr>
        <w:t>省</w:t>
      </w:r>
      <w:r w:rsidR="00D32A27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青年科技奖、省自然科学优秀学术论文一等奖、省医学科技成果二等奖、省科技进步三等奖等</w:t>
      </w:r>
      <w:r w:rsidR="003D43C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，获福建省卫生健康突出贡献中青年专家等荣誉</w:t>
      </w:r>
      <w:r w:rsidR="00D32A27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  <w:r w:rsidR="008A74FD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研究中心</w:t>
      </w:r>
      <w:r w:rsidR="00A772F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现有科研场所</w:t>
      </w:r>
      <w:r w:rsidR="00CA0745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总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面积</w:t>
      </w:r>
      <w:r w:rsidR="00CA0745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逾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="008458FA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5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00平方米，设有专科病房（床位50张）、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专科门诊（年门诊量6</w:t>
      </w:r>
      <w:r w:rsidR="001D6ABA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.5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万人次）、血液净化中心（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血透机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位</w:t>
      </w:r>
      <w:r w:rsidR="001D6ABA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65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台）</w:t>
      </w:r>
      <w:r w:rsidR="009505AE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、腹膜透析中心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（年新增腹透患者7</w:t>
      </w:r>
      <w:r w:rsidR="001D6ABA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 w:rsid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多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例）、</w:t>
      </w:r>
      <w:r w:rsidR="008458F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肾脏病理</w:t>
      </w:r>
      <w:r w:rsidR="008458F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诊断室</w:t>
      </w:r>
      <w:r w:rsidR="001D6ABA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  <w:r w:rsidR="00CA0745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中心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配备冰冻切片机、实时荧光定量PCR、基因分析仪、化学发光成像系统、高效基因转染系统、流式细胞仪、显微切割系统、激光共聚焦显微镜等高端</w:t>
      </w:r>
      <w:r w:rsidR="008A274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实验</w:t>
      </w:r>
      <w:r w:rsidR="00CA0745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研究设备</w:t>
      </w:r>
      <w:r w:rsidR="00CE5E8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。此外，中心配备</w:t>
      </w:r>
      <w:r w:rsidR="008A274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先进的血液净化设备、透析用水装置、自动化腹膜透析机、肾活检组织病理诊断设备、彩色多普勒超声仪、动态血压测量仪、血液透析信息化管理软件、腹膜透析信息化管理软件、慢性肾脏病信息化管理软件等为实现肾脏病</w:t>
      </w:r>
      <w:r w:rsidR="00CE5E8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临床研究</w:t>
      </w:r>
      <w:r w:rsidR="008A274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提供了设备保障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64BB351E" w14:textId="1E37CB58" w:rsidR="00DA3898" w:rsidRDefault="001D6ABA" w:rsidP="00270CC4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中心自成立以来，新增国家自然科学基金课题1项，省级科研课题</w:t>
      </w:r>
      <w:r w:rsidR="00903C09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7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项；发表SCI论文</w:t>
      </w:r>
      <w:r w:rsidR="00903C09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26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篇，C</w:t>
      </w:r>
      <w:r w:rsidR="00903C09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SCD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论文</w:t>
      </w:r>
      <w:r w:rsidR="00903C09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11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篇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新增药/械临床试验</w:t>
      </w:r>
      <w:r w:rsidR="00651316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3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项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参编肾脏病专业相关指南及共识</w:t>
      </w:r>
      <w:r w:rsidR="00903C09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9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部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新增省级学术团体副主任委员</w:t>
      </w:r>
      <w:r w:rsidR="00903C09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2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人次，常务委员1人次</w:t>
      </w:r>
      <w:r w:rsidR="00651316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903C09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新增“福建省百千万人才工程”1人。</w:t>
      </w:r>
      <w:r w:rsidR="00EA2368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中心将以临床问题为导向，</w:t>
      </w:r>
      <w:r w:rsidR="005D56E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对标国内先进的肾脏病</w:t>
      </w:r>
      <w:r w:rsidR="005D56E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临床研究</w:t>
      </w:r>
      <w:r w:rsidR="005D56E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中心，搭建创新型肾脏疾病研究和转化平台，形成“基础研究-临床转化-循证评价-示范应用”一体化链条</w:t>
      </w:r>
      <w:r w:rsidR="00AA6E9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AA6E9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建设立足海峡西岸、辐射周边区域的</w:t>
      </w:r>
      <w:r w:rsidR="00AA6E9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代谢性慢性</w:t>
      </w:r>
      <w:r w:rsidR="00AA6E9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肾脏疾病</w:t>
      </w:r>
      <w:r w:rsidR="00AA6E9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研究</w:t>
      </w:r>
      <w:r w:rsidR="00AA6E9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中心和高水平诊疗技术示范</w:t>
      </w:r>
      <w:r w:rsidR="00AA6E90" w:rsidRPr="004B54D4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及</w:t>
      </w:r>
      <w:r w:rsidR="00AA6E90" w:rsidRPr="004B54D4">
        <w:rPr>
          <w:rFonts w:ascii="微软雅黑" w:eastAsia="微软雅黑" w:hAnsi="微软雅黑"/>
          <w:color w:val="000000" w:themeColor="text1"/>
          <w:sz w:val="24"/>
          <w:szCs w:val="24"/>
        </w:rPr>
        <w:t>推广平台。</w:t>
      </w:r>
    </w:p>
    <w:p w14:paraId="515A30D0" w14:textId="5A2943F8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68BEE9" wp14:editId="161C8691">
            <wp:simplePos x="0" y="0"/>
            <wp:positionH relativeFrom="column">
              <wp:posOffset>123825</wp:posOffset>
            </wp:positionH>
            <wp:positionV relativeFrom="paragraph">
              <wp:posOffset>206375</wp:posOffset>
            </wp:positionV>
            <wp:extent cx="5274310" cy="3515995"/>
            <wp:effectExtent l="0" t="0" r="2540" b="825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33333333333333333333333333333333333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E7A0B" w14:textId="29369A31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5946F147" w14:textId="23B62788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3690FDE3" w14:textId="77777777" w:rsidR="008C39B1" w:rsidRDefault="008C39B1" w:rsidP="00270CC4">
      <w:pPr>
        <w:spacing w:line="500" w:lineRule="exact"/>
        <w:ind w:firstLine="42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</w:p>
    <w:p w14:paraId="4B7BDB08" w14:textId="54D5E3E0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2D470AAE" w14:textId="31879ABC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3A47FE21" w14:textId="64227C94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1A1225AB" w14:textId="453BBF47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2025DC70" w14:textId="67867FC3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2DE05C32" w14:textId="133DA36A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3EB2C44B" w14:textId="6B214038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75A98F6A" w14:textId="04EFC514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7D685592" w14:textId="08778680" w:rsidR="008C39B1" w:rsidRDefault="008C39B1" w:rsidP="00732107">
      <w:pPr>
        <w:spacing w:line="500" w:lineRule="exact"/>
        <w:ind w:firstLine="420"/>
        <w:jc w:val="center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noProof/>
          <w:color w:val="000000" w:themeColor="text1"/>
          <w:sz w:val="24"/>
          <w:szCs w:val="24"/>
        </w:rPr>
        <w:t>图一：</w:t>
      </w:r>
      <w:r w:rsidR="003D43C1">
        <w:rPr>
          <w:rFonts w:ascii="微软雅黑" w:eastAsia="微软雅黑" w:hAnsi="微软雅黑" w:hint="eastAsia"/>
          <w:noProof/>
          <w:color w:val="000000" w:themeColor="text1"/>
          <w:sz w:val="24"/>
          <w:szCs w:val="24"/>
        </w:rPr>
        <w:t>临床</w:t>
      </w:r>
      <w:r w:rsidR="00732107">
        <w:rPr>
          <w:rFonts w:ascii="微软雅黑" w:eastAsia="微软雅黑" w:hAnsi="微软雅黑" w:hint="eastAsia"/>
          <w:noProof/>
          <w:color w:val="000000" w:themeColor="text1"/>
          <w:sz w:val="24"/>
          <w:szCs w:val="24"/>
        </w:rPr>
        <w:t>研究中心核心成员</w:t>
      </w:r>
    </w:p>
    <w:p w14:paraId="41412D3A" w14:textId="32C49E2E" w:rsidR="008C39B1" w:rsidRDefault="008C39B1" w:rsidP="00270CC4">
      <w:pPr>
        <w:spacing w:line="500" w:lineRule="exact"/>
        <w:ind w:firstLine="420"/>
        <w:rPr>
          <w:rFonts w:ascii="微软雅黑" w:eastAsia="微软雅黑" w:hAnsi="微软雅黑" w:hint="eastAsia"/>
          <w:noProof/>
          <w:color w:val="000000" w:themeColor="text1"/>
          <w:sz w:val="24"/>
          <w:szCs w:val="24"/>
        </w:rPr>
      </w:pPr>
    </w:p>
    <w:p w14:paraId="44FFE3C5" w14:textId="613E414B" w:rsidR="00732107" w:rsidRDefault="00732107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EAECF44" wp14:editId="62D28CF5">
            <wp:simplePos x="0" y="0"/>
            <wp:positionH relativeFrom="column">
              <wp:posOffset>76200</wp:posOffset>
            </wp:positionH>
            <wp:positionV relativeFrom="paragraph">
              <wp:posOffset>206375</wp:posOffset>
            </wp:positionV>
            <wp:extent cx="5274310" cy="3515995"/>
            <wp:effectExtent l="0" t="0" r="2540" b="825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5555555555555555555555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710C3" w14:textId="11B17E12" w:rsidR="00732107" w:rsidRDefault="00732107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3431CC13" w14:textId="756ECCA4" w:rsidR="00732107" w:rsidRDefault="00732107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36ADA451" w14:textId="77777777" w:rsidR="00732107" w:rsidRDefault="00732107" w:rsidP="00270CC4">
      <w:pPr>
        <w:spacing w:line="500" w:lineRule="exact"/>
        <w:ind w:firstLine="420"/>
        <w:rPr>
          <w:rFonts w:ascii="微软雅黑" w:eastAsia="微软雅黑" w:hAnsi="微软雅黑" w:hint="eastAsia"/>
          <w:noProof/>
          <w:color w:val="000000" w:themeColor="text1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6"/>
      </w:tblGrid>
      <w:tr w:rsidR="008C39B1" w14:paraId="1BBFD61B" w14:textId="77777777" w:rsidTr="008C39B1">
        <w:trPr>
          <w:trHeight w:val="5217"/>
        </w:trPr>
        <w:tc>
          <w:tcPr>
            <w:tcW w:w="7906" w:type="dxa"/>
          </w:tcPr>
          <w:p w14:paraId="12E34AEA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  <w:t>、</w:t>
            </w:r>
          </w:p>
          <w:p w14:paraId="69F95C9B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46F73FA7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5B1C3482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6B22E544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1E868660" w14:textId="2E54D6FF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26AF6BBB" w14:textId="77777777" w:rsidR="00732107" w:rsidRDefault="00732107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6CEF0B30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56D09A64" w14:textId="6A30EE96" w:rsidR="00732107" w:rsidRDefault="00732107" w:rsidP="00732107">
            <w:pPr>
              <w:spacing w:line="500" w:lineRule="exact"/>
              <w:jc w:val="center"/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  <w:t>图2：中心负责人万建新教授、许艳芳教授</w:t>
            </w:r>
            <w:r w:rsidR="00F55537"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  <w:t>针对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  <w:t>临床研究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  <w:t>工作</w:t>
            </w:r>
            <w:r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  <w:t>进行部署</w:t>
            </w:r>
          </w:p>
        </w:tc>
      </w:tr>
      <w:tr w:rsidR="008C39B1" w14:paraId="478E7709" w14:textId="77777777" w:rsidTr="008C39B1">
        <w:trPr>
          <w:trHeight w:val="5217"/>
        </w:trPr>
        <w:tc>
          <w:tcPr>
            <w:tcW w:w="7906" w:type="dxa"/>
          </w:tcPr>
          <w:p w14:paraId="3305DCE0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</w:pPr>
          </w:p>
          <w:p w14:paraId="656C6F91" w14:textId="77777777" w:rsidR="008C39B1" w:rsidRDefault="008C39B1" w:rsidP="00270CC4">
            <w:pPr>
              <w:spacing w:line="500" w:lineRule="exact"/>
              <w:rPr>
                <w:rFonts w:ascii="微软雅黑" w:eastAsia="微软雅黑" w:hAnsi="微软雅黑"/>
                <w:noProof/>
                <w:color w:val="000000" w:themeColor="text1"/>
                <w:sz w:val="24"/>
                <w:szCs w:val="24"/>
              </w:rPr>
            </w:pPr>
          </w:p>
          <w:p w14:paraId="194001B7" w14:textId="02F7545F" w:rsidR="008C39B1" w:rsidRPr="003D43C1" w:rsidRDefault="008C39B1" w:rsidP="00270CC4">
            <w:pPr>
              <w:spacing w:line="500" w:lineRule="exact"/>
              <w:rPr>
                <w:rFonts w:ascii="微软雅黑" w:eastAsia="微软雅黑" w:hAnsi="微软雅黑" w:hint="eastAsia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2546153" w14:textId="022356D7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355AF482" w14:textId="206CBC65" w:rsidR="008C39B1" w:rsidRDefault="008C39B1" w:rsidP="00270CC4">
      <w:pPr>
        <w:spacing w:line="500" w:lineRule="exact"/>
        <w:ind w:firstLine="420"/>
        <w:rPr>
          <w:rFonts w:ascii="微软雅黑" w:eastAsia="微软雅黑" w:hAnsi="微软雅黑"/>
          <w:noProof/>
          <w:color w:val="000000" w:themeColor="text1"/>
          <w:sz w:val="24"/>
          <w:szCs w:val="24"/>
        </w:rPr>
      </w:pPr>
    </w:p>
    <w:p w14:paraId="751D3FB5" w14:textId="7645343B" w:rsidR="008C39B1" w:rsidRPr="004B54D4" w:rsidRDefault="008C39B1" w:rsidP="0058547F">
      <w:pPr>
        <w:spacing w:line="500" w:lineRule="exac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8C39B1" w:rsidRPr="004B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A9861" w14:textId="77777777" w:rsidR="00B55DF1" w:rsidRDefault="00B55DF1" w:rsidP="00D32A27">
      <w:r>
        <w:separator/>
      </w:r>
    </w:p>
  </w:endnote>
  <w:endnote w:type="continuationSeparator" w:id="0">
    <w:p w14:paraId="0C1A4D77" w14:textId="77777777" w:rsidR="00B55DF1" w:rsidRDefault="00B55DF1" w:rsidP="00D3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9353" w14:textId="77777777" w:rsidR="00B55DF1" w:rsidRDefault="00B55DF1" w:rsidP="00D32A27">
      <w:r>
        <w:separator/>
      </w:r>
    </w:p>
  </w:footnote>
  <w:footnote w:type="continuationSeparator" w:id="0">
    <w:p w14:paraId="33747FFD" w14:textId="77777777" w:rsidR="00B55DF1" w:rsidRDefault="00B55DF1" w:rsidP="00D3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38"/>
    <w:rsid w:val="0004650A"/>
    <w:rsid w:val="000504C9"/>
    <w:rsid w:val="00095FFD"/>
    <w:rsid w:val="001D6ABA"/>
    <w:rsid w:val="00270CC4"/>
    <w:rsid w:val="0027536A"/>
    <w:rsid w:val="00276BC6"/>
    <w:rsid w:val="002F4250"/>
    <w:rsid w:val="003D07B7"/>
    <w:rsid w:val="003D43C1"/>
    <w:rsid w:val="004B54D4"/>
    <w:rsid w:val="004D35FC"/>
    <w:rsid w:val="00502B51"/>
    <w:rsid w:val="0058547F"/>
    <w:rsid w:val="005A0DC4"/>
    <w:rsid w:val="005B0138"/>
    <w:rsid w:val="005D56E0"/>
    <w:rsid w:val="00605E45"/>
    <w:rsid w:val="00627E08"/>
    <w:rsid w:val="00651316"/>
    <w:rsid w:val="00723F20"/>
    <w:rsid w:val="00732107"/>
    <w:rsid w:val="00817106"/>
    <w:rsid w:val="008458FA"/>
    <w:rsid w:val="00863231"/>
    <w:rsid w:val="008A2740"/>
    <w:rsid w:val="008A74FD"/>
    <w:rsid w:val="008C39B1"/>
    <w:rsid w:val="008F0E02"/>
    <w:rsid w:val="00903C09"/>
    <w:rsid w:val="009166FD"/>
    <w:rsid w:val="009505AE"/>
    <w:rsid w:val="009D0C45"/>
    <w:rsid w:val="00A61E08"/>
    <w:rsid w:val="00A772F6"/>
    <w:rsid w:val="00AA6E90"/>
    <w:rsid w:val="00B55DF1"/>
    <w:rsid w:val="00B800CA"/>
    <w:rsid w:val="00CA0745"/>
    <w:rsid w:val="00CC42E0"/>
    <w:rsid w:val="00CD13C3"/>
    <w:rsid w:val="00CE5E86"/>
    <w:rsid w:val="00D30F4D"/>
    <w:rsid w:val="00D32A27"/>
    <w:rsid w:val="00D35DED"/>
    <w:rsid w:val="00D50D9E"/>
    <w:rsid w:val="00DA3898"/>
    <w:rsid w:val="00DB01BC"/>
    <w:rsid w:val="00EA2368"/>
    <w:rsid w:val="00F46600"/>
    <w:rsid w:val="00F55537"/>
    <w:rsid w:val="00F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FFBB5"/>
  <w15:chartTrackingRefBased/>
  <w15:docId w15:val="{2C2CF281-E2B9-47C0-B347-9581A149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A27"/>
    <w:rPr>
      <w:sz w:val="18"/>
      <w:szCs w:val="18"/>
    </w:rPr>
  </w:style>
  <w:style w:type="table" w:styleId="a7">
    <w:name w:val="Table Grid"/>
    <w:basedOn w:val="a1"/>
    <w:uiPriority w:val="39"/>
    <w:rsid w:val="008C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伟</dc:creator>
  <cp:keywords/>
  <dc:description/>
  <cp:lastModifiedBy>FYUSER</cp:lastModifiedBy>
  <cp:revision>34</cp:revision>
  <dcterms:created xsi:type="dcterms:W3CDTF">2023-07-11T02:45:00Z</dcterms:created>
  <dcterms:modified xsi:type="dcterms:W3CDTF">2023-07-13T08:53:00Z</dcterms:modified>
</cp:coreProperties>
</file>